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/ WARSZTATÓW W ZAKRESIE OPERACJI DOTYCZĄCEJ </w:t>
      </w:r>
      <w:r w:rsidR="005A51A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ZACHOWANIA DZIEDZICTWA LOKALNEGO</w:t>
      </w:r>
      <w:bookmarkStart w:id="0" w:name="_GoBack"/>
      <w:bookmarkEnd w:id="0"/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52A90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– Fundusz Biebrzański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A9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>w Suchowoli, ul. Plac Kościuszki 21, 16-150 Suchowola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552A9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1" w:name="_Hlk51734072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r w:rsidR="0063034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552A90" w:rsidRPr="00485744">
          <w:rPr>
            <w:rStyle w:val="Hipercze"/>
            <w:rFonts w:ascii="Times New Roman" w:hAnsi="Times New Roman" w:cs="Times New Roman"/>
            <w:sz w:val="20"/>
            <w:szCs w:val="20"/>
          </w:rPr>
          <w:t>inspektor@biebrza-leader.pl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271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2A90"/>
    <w:rsid w:val="00554F05"/>
    <w:rsid w:val="00554F0F"/>
    <w:rsid w:val="0055725A"/>
    <w:rsid w:val="0056715D"/>
    <w:rsid w:val="00570A95"/>
    <w:rsid w:val="005809CF"/>
    <w:rsid w:val="005936EA"/>
    <w:rsid w:val="005A1959"/>
    <w:rsid w:val="005A51AC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6752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37C8"/>
  <w15:docId w15:val="{0ED3166D-2712-4BE0-BB61-62E1524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7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biebrza-lead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079D-072D-4FE1-9BAB-8F377AFE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MisztalKatarzna</cp:lastModifiedBy>
  <cp:revision>21</cp:revision>
  <cp:lastPrinted>2018-06-04T07:26:00Z</cp:lastPrinted>
  <dcterms:created xsi:type="dcterms:W3CDTF">2018-06-04T06:24:00Z</dcterms:created>
  <dcterms:modified xsi:type="dcterms:W3CDTF">2018-11-05T09:44:00Z</dcterms:modified>
</cp:coreProperties>
</file>